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76" w:lineRule="auto"/>
        <w:jc w:val="center"/>
        <w:rPr/>
      </w:pPr>
      <w:bookmarkStart w:colFirst="0" w:colLast="0" w:name="_29o1oont3b1d" w:id="0"/>
      <w:bookmarkEnd w:id="0"/>
      <w:r w:rsidDel="00000000" w:rsidR="00000000" w:rsidRPr="00000000">
        <w:rPr>
          <w:rtl w:val="0"/>
        </w:rPr>
        <w:t xml:space="preserve">Relationship-Building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m6x2jcnc73d6" w:id="1"/>
      <w:bookmarkEnd w:id="1"/>
      <w:r w:rsidDel="00000000" w:rsidR="00000000" w:rsidRPr="00000000">
        <w:rPr>
          <w:rtl w:val="0"/>
        </w:rPr>
        <w:t xml:space="preserve">Why incorporate routine relationship-building activities into tutoring?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Strong relationships are fundamental to students' success with tutoring. The more students feel safe, supported, and that they have a personal connection with their tutor, the more impactful the sessions will be. </w:t>
      </w:r>
      <w:r w:rsidDel="00000000" w:rsidR="00000000" w:rsidRPr="00000000">
        <w:rPr>
          <w:rtl w:val="0"/>
        </w:rPr>
        <w:t xml:space="preserve">At the outset, relationship-building activities help tutors </w:t>
      </w:r>
      <w:r w:rsidDel="00000000" w:rsidR="00000000" w:rsidRPr="00000000">
        <w:rPr>
          <w:b w:val="1"/>
          <w:rtl w:val="0"/>
        </w:rPr>
        <w:t xml:space="preserve">get to know their students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create a safe, positive learning environment.</w:t>
      </w:r>
      <w:r w:rsidDel="00000000" w:rsidR="00000000" w:rsidRPr="00000000">
        <w:rPr>
          <w:rtl w:val="0"/>
        </w:rPr>
        <w:t xml:space="preserve"> Building them into routine tutoring sessions helps tutors </w:t>
      </w:r>
      <w:r w:rsidDel="00000000" w:rsidR="00000000" w:rsidRPr="00000000">
        <w:rPr>
          <w:b w:val="1"/>
          <w:rtl w:val="0"/>
        </w:rPr>
        <w:t xml:space="preserve">keep their knowledge of students alive and current.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gar372vgww5n" w:id="2"/>
      <w:bookmarkEnd w:id="2"/>
      <w:r w:rsidDel="00000000" w:rsidR="00000000" w:rsidRPr="00000000">
        <w:rPr>
          <w:rtl w:val="0"/>
        </w:rPr>
        <w:t xml:space="preserve">Creating a Safe, Positive Learning Environment</w:t>
      </w:r>
    </w:p>
    <w:p w:rsidR="00000000" w:rsidDel="00000000" w:rsidP="00000000" w:rsidRDefault="00000000" w:rsidRPr="00000000" w14:paraId="00000007">
      <w:pPr>
        <w:widowControl w:val="0"/>
        <w:spacing w:after="200" w:lineRule="auto"/>
        <w:rPr/>
      </w:pPr>
      <w:r w:rsidDel="00000000" w:rsidR="00000000" w:rsidRPr="00000000">
        <w:rPr>
          <w:rtl w:val="0"/>
        </w:rPr>
        <w:t xml:space="preserve">Social activities like talking, sharing, laughing, and listening help us bond with others. </w:t>
      </w:r>
      <w:r w:rsidDel="00000000" w:rsidR="00000000" w:rsidRPr="00000000">
        <w:rPr>
          <w:rtl w:val="0"/>
        </w:rPr>
        <w:t xml:space="preserve">These bonds create a feeling of safety in a relationship.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When students feel</w:t>
        </w:r>
      </w:hyperlink>
      <w:hyperlink r:id="rId8">
        <w:r w:rsidDel="00000000" w:rsidR="00000000" w:rsidRPr="00000000">
          <w:rPr>
            <w:color w:val="3c78d8"/>
            <w:u w:val="single"/>
            <w:rtl w:val="0"/>
          </w:rPr>
          <w:t xml:space="preserve"> </w:t>
        </w:r>
      </w:hyperlink>
      <w:r w:rsidDel="00000000" w:rsidR="00000000" w:rsidRPr="00000000">
        <w:rPr>
          <w:color w:val="3c78d8"/>
          <w:u w:val="single"/>
          <w:rtl w:val="0"/>
        </w:rPr>
        <w:t xml:space="preserve">connected with their tutor</w:t>
      </w:r>
      <w:r w:rsidDel="00000000" w:rsidR="00000000" w:rsidRPr="00000000">
        <w:rPr>
          <w:rtl w:val="0"/>
        </w:rPr>
        <w:t xml:space="preserve">, they are more likely to participate, ask questions, and attempt new skills.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Praise effort, </w:t>
      </w:r>
      <w:r w:rsidDel="00000000" w:rsidR="00000000" w:rsidRPr="00000000">
        <w:rPr>
          <w:i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outcomes.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For example: </w:t>
      </w:r>
      <w:r w:rsidDel="00000000" w:rsidR="00000000" w:rsidRPr="00000000">
        <w:rPr>
          <w:rtl w:val="0"/>
        </w:rPr>
        <w:t xml:space="preserve">“When you complete all the practice problems, I noticed you got a 100% on your exit ticket. All that practice you did really helped you master new skills — great work!”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Model the behaviors and social skills you want to see from your students.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Explain the behaviors you are modeling; if you are feeling frustrated, tell students how you are feeling in a productive way as a model for them when they encounter frustrations in their own </w:t>
      </w:r>
      <w:r w:rsidDel="00000000" w:rsidR="00000000" w:rsidRPr="00000000">
        <w:rPr>
          <w:rtl w:val="0"/>
        </w:rPr>
        <w:t xml:space="preserve">work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For example:</w:t>
      </w:r>
      <w:r w:rsidDel="00000000" w:rsidR="00000000" w:rsidRPr="00000000">
        <w:rPr>
          <w:rtl w:val="0"/>
        </w:rPr>
        <w:t xml:space="preserve"> “I want to be honest with you right now. I’m feeling a little bit frustrated because I asked the group to work on these questions independently but I’m hearing a lot of chatter. Maybe I wasn’t clear, so I’m going to ask that we pause so I can explain these directions again. Feel free to let me know if you have questions about what we’re doing when I’m finished explaining.”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Remain calm and de-escalate when students emotionally overreact.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Provide the space and time needed for students to settle down.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Set an example for students; demonstrate in your own actions how they can productively express themselves.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Build trust that you value and care about them no matter what, and overreactions will decrease over time.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For example: </w:t>
      </w:r>
      <w:r w:rsidDel="00000000" w:rsidR="00000000" w:rsidRPr="00000000">
        <w:rPr>
          <w:rtl w:val="0"/>
        </w:rPr>
        <w:t xml:space="preserve">“I’m getting the sense that you’re feeling overwhelmed right now. Why don’t you take a few minutes to grab a drink and then maybe we can talk about how you’re feeling.”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y2oam13097p6" w:id="3"/>
      <w:bookmarkEnd w:id="3"/>
      <w:r w:rsidDel="00000000" w:rsidR="00000000" w:rsidRPr="00000000">
        <w:rPr>
          <w:rtl w:val="0"/>
        </w:rPr>
        <w:t xml:space="preserve">Keeping Knowledge of Students Alive and Current</w:t>
      </w:r>
    </w:p>
    <w:p w:rsidR="00000000" w:rsidDel="00000000" w:rsidP="00000000" w:rsidRDefault="00000000" w:rsidRPr="00000000" w14:paraId="00000014">
      <w:pPr>
        <w:widowControl w:val="0"/>
        <w:spacing w:after="200" w:lineRule="auto"/>
        <w:rPr/>
      </w:pPr>
      <w:r w:rsidDel="00000000" w:rsidR="00000000" w:rsidRPr="00000000">
        <w:rPr>
          <w:rtl w:val="0"/>
        </w:rPr>
        <w:t xml:space="preserve">By continuing to ask students about their lives and interests, tutors can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make relevant connections in content planning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Devote the beginning of </w:t>
      </w:r>
      <w:r w:rsidDel="00000000" w:rsidR="00000000" w:rsidRPr="00000000">
        <w:rPr>
          <w:i w:val="1"/>
          <w:rtl w:val="0"/>
        </w:rPr>
        <w:t xml:space="preserve">every</w:t>
      </w:r>
      <w:r w:rsidDel="00000000" w:rsidR="00000000" w:rsidRPr="00000000">
        <w:rPr>
          <w:rtl w:val="0"/>
        </w:rPr>
        <w:t xml:space="preserve"> tutoring session to relationship-building games, icebreakers, and check-ins. These do not have to be more than a couple of minutes, but make it clear you are invested in getting to know each student as an individual.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Use knowledge of student interests to individualize instruction by connecting their interests to new material.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Ask students to share what they know about a topic to build confidence and explore new concepts.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3538538</wp:posOffset>
                </wp:positionH>
                <wp:positionV relativeFrom="paragraph">
                  <wp:posOffset>142875</wp:posOffset>
                </wp:positionV>
                <wp:extent cx="3319463" cy="1446147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0" y="0"/>
                          <a:ext cx="7098900" cy="3090000"/>
                        </a:xfrm>
                        <a:prstGeom prst="rect">
                          <a:avLst/>
                        </a:prstGeom>
                        <a:solidFill>
                          <a:srgbClr val="B6D7A8"/>
                        </a:solidFill>
                        <a:ln cap="flat" cmpd="sng" w="38100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434343"/>
                                <w:sz w:val="40"/>
                                <w:vertAlign w:val="baseline"/>
                              </w:rPr>
                              <w:t xml:space="preserve">T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434343"/>
                                <w:sz w:val="42"/>
                                <w:vertAlign w:val="baseline"/>
                              </w:rPr>
                              <w:t xml:space="preserve">o address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434343"/>
                                <w:sz w:val="42"/>
                                <w:vertAlign w:val="baseline"/>
                              </w:rPr>
                              <w:t xml:space="preserve">equity and safety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434343"/>
                                <w:sz w:val="42"/>
                                <w:vertAlign w:val="baseline"/>
                              </w:rPr>
                              <w:t xml:space="preserve"> concerns, tutors should be cognizant of students’ lived experience. Consider what you are asking students to share with a new group or adult and how that might make them feel.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434343"/>
                                <w:sz w:val="42"/>
                                <w:vertAlign w:val="baseline"/>
                              </w:rPr>
                              <w:t xml:space="preserve">For example, being asked to share where your family is from may be difficult for migrants or those whose legal status isn’t clear. P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434343"/>
                                <w:sz w:val="42"/>
                                <w:vertAlign w:val="baseline"/>
                              </w:rPr>
                              <w:t xml:space="preserve">eople have different levels of comfort with sharing information and tutors should use their first sessions to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434343"/>
                                <w:sz w:val="42"/>
                                <w:vertAlign w:val="baseline"/>
                              </w:rPr>
                              <w:t xml:space="preserve">gauge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434343"/>
                                <w:sz w:val="42"/>
                                <w:vertAlign w:val="baseline"/>
                              </w:rPr>
                              <w:t xml:space="preserve"> students’ comfort and should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434343"/>
                                <w:sz w:val="42"/>
                                <w:vertAlign w:val="baseline"/>
                              </w:rPr>
                              <w:t xml:space="preserve">avoid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434343"/>
                                <w:sz w:val="42"/>
                                <w:vertAlign w:val="baseline"/>
                              </w:rPr>
                              <w:t xml:space="preserve">requiring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434343"/>
                                <w:sz w:val="4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434343"/>
                                <w:sz w:val="42"/>
                                <w:vertAlign w:val="baseline"/>
                              </w:rPr>
                              <w:t xml:space="preserve">students to share personal information.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3538538</wp:posOffset>
                </wp:positionH>
                <wp:positionV relativeFrom="paragraph">
                  <wp:posOffset>142875</wp:posOffset>
                </wp:positionV>
                <wp:extent cx="3319463" cy="1446147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9463" cy="14461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Style w:val="Heading1"/>
        <w:spacing w:line="276" w:lineRule="auto"/>
        <w:rPr/>
      </w:pPr>
      <w:bookmarkStart w:colFirst="0" w:colLast="0" w:name="_mk9l2alq1c7f" w:id="4"/>
      <w:bookmarkEnd w:id="4"/>
      <w:r w:rsidDel="00000000" w:rsidR="00000000" w:rsidRPr="00000000">
        <w:rPr>
          <w:rtl w:val="0"/>
        </w:rPr>
        <w:t xml:space="preserve">Example Relationship-Building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dhhx6myowxjl" w:id="5"/>
      <w:bookmarkEnd w:id="5"/>
      <w:r w:rsidDel="00000000" w:rsidR="00000000" w:rsidRPr="00000000">
        <w:rPr>
          <w:rtl w:val="0"/>
        </w:rPr>
        <w:t xml:space="preserve">“Getting to Know You” Conversation Question Bank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Tutors can use the list of sample questions below to guide their own questions during one-on-one chats with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numPr>
          <w:ilvl w:val="0"/>
          <w:numId w:val="4"/>
        </w:numPr>
        <w:ind w:left="720" w:hanging="360"/>
        <w:rPr>
          <w:u w:val="none"/>
        </w:rPr>
      </w:pPr>
      <w:bookmarkStart w:colFirst="0" w:colLast="0" w:name="_85wbq3785t3s" w:id="6"/>
      <w:bookmarkEnd w:id="6"/>
      <w:r w:rsidDel="00000000" w:rsidR="00000000" w:rsidRPr="00000000">
        <w:rPr>
          <w:rtl w:val="0"/>
        </w:rPr>
        <w:t xml:space="preserve">Students’ Social Lives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What do you do for fun outside of school?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What are your favorite things to do with friends?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Do you prefer working together, or competing?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When you and your friends are chatting, what languages do you speak together?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What do you think you’re best at?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Are you part of any teams, clubs, or groups?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What hobbies are you most interested in?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What do you spend a lot of time thinking about?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Who do you look up to and ask for advice?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bookmarkStart w:colFirst="0" w:colLast="0" w:name="_re9qmmopuir" w:id="7"/>
      <w:bookmarkEnd w:id="7"/>
      <w:r w:rsidDel="00000000" w:rsidR="00000000" w:rsidRPr="00000000">
        <w:rPr>
          <w:rtl w:val="0"/>
        </w:rPr>
        <w:t xml:space="preserve">Students’ Family Lives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you tell me a little bit about your family?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What kinds of responsibilities do you have to your family?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What kinds of activities do you and your family do together?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What do your </w:t>
      </w:r>
      <w:r w:rsidDel="00000000" w:rsidR="00000000" w:rsidRPr="00000000">
        <w:rPr>
          <w:rtl w:val="0"/>
        </w:rPr>
        <w:t xml:space="preserve">folks</w:t>
      </w:r>
      <w:r w:rsidDel="00000000" w:rsidR="00000000" w:rsidRPr="00000000">
        <w:rPr>
          <w:rtl w:val="0"/>
        </w:rPr>
        <w:t xml:space="preserve"> want you to be when you grow up?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What do your folks think is important to know and be able to do?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What do your folks do for work?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What was school like for your folks when they were growing up?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Did your folks grow up here? If not, where did they grow up, and when did they move here?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Did you and your family move recently? Where did you live before here?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languages do you and your family speak at home?</w:t>
      </w:r>
    </w:p>
    <w:p w:rsidR="00000000" w:rsidDel="00000000" w:rsidP="00000000" w:rsidRDefault="00000000" w:rsidRPr="00000000" w14:paraId="00000036">
      <w:pPr>
        <w:pStyle w:val="Heading3"/>
        <w:numPr>
          <w:ilvl w:val="0"/>
          <w:numId w:val="4"/>
        </w:numPr>
        <w:ind w:left="720" w:hanging="360"/>
        <w:rPr>
          <w:u w:val="none"/>
        </w:rPr>
      </w:pPr>
      <w:bookmarkStart w:colFirst="0" w:colLast="0" w:name="_8vv3nxoqhhm5" w:id="8"/>
      <w:bookmarkEnd w:id="8"/>
      <w:r w:rsidDel="00000000" w:rsidR="00000000" w:rsidRPr="00000000">
        <w:rPr>
          <w:rtl w:val="0"/>
        </w:rPr>
        <w:t xml:space="preserve">Language &amp; Literacy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What language do your folks use to text you? What about for texting with extended family?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Do you have books, newspapers, magazines, or religious texts at home? Who usually reads them?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Does anyone in your family write lists for organizing and remembering things?</w:t>
      </w:r>
    </w:p>
    <w:p w:rsidR="00000000" w:rsidDel="00000000" w:rsidP="00000000" w:rsidRDefault="00000000" w:rsidRPr="00000000" w14:paraId="0000003A">
      <w:pPr>
        <w:pStyle w:val="Heading3"/>
        <w:numPr>
          <w:ilvl w:val="0"/>
          <w:numId w:val="4"/>
        </w:numPr>
        <w:ind w:left="720" w:hanging="360"/>
        <w:rPr>
          <w:u w:val="none"/>
        </w:rPr>
      </w:pPr>
      <w:bookmarkStart w:colFirst="0" w:colLast="0" w:name="_o5rm6z3g8j6o" w:id="9"/>
      <w:bookmarkEnd w:id="9"/>
      <w:r w:rsidDel="00000000" w:rsidR="00000000" w:rsidRPr="00000000">
        <w:rPr>
          <w:rtl w:val="0"/>
        </w:rPr>
        <w:t xml:space="preserve">Math &amp; Science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Do you deal with money day-to-day? What are some situations where you do math with money?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Does anyone in your family build or repair things? How did they learn those skills?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Does anyone in your family do sewing or cooking that requires measuring things with precision?</w:t>
      </w:r>
    </w:p>
    <w:p w:rsidR="00000000" w:rsidDel="00000000" w:rsidP="00000000" w:rsidRDefault="00000000" w:rsidRPr="00000000" w14:paraId="0000003E">
      <w:pPr>
        <w:pStyle w:val="Heading3"/>
        <w:numPr>
          <w:ilvl w:val="0"/>
          <w:numId w:val="4"/>
        </w:numPr>
        <w:ind w:left="720" w:hanging="360"/>
        <w:rPr>
          <w:u w:val="none"/>
        </w:rPr>
      </w:pPr>
      <w:bookmarkStart w:colFirst="0" w:colLast="0" w:name="_xokc7wycg9nu" w:id="10"/>
      <w:bookmarkEnd w:id="10"/>
      <w:r w:rsidDel="00000000" w:rsidR="00000000" w:rsidRPr="00000000">
        <w:rPr>
          <w:rtl w:val="0"/>
        </w:rPr>
        <w:t xml:space="preserve">Art &amp; Culture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Do you (or another family member) play a musical instrument? What instrument?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What are your favorite musical artists and genres?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What genres of music do you hear a lot around your community?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Do you have any favorite local artists (any kind, not just music)? What kind of art do they make?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What </w:t>
      </w:r>
      <w:r w:rsidDel="00000000" w:rsidR="00000000" w:rsidRPr="00000000">
        <w:rPr>
          <w:rtl w:val="0"/>
        </w:rPr>
        <w:t xml:space="preserve">interesting places</w:t>
      </w:r>
      <w:r w:rsidDel="00000000" w:rsidR="00000000" w:rsidRPr="00000000">
        <w:rPr>
          <w:rtl w:val="0"/>
        </w:rPr>
        <w:t xml:space="preserve"> have you visited around the city?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rPr/>
      </w:pPr>
      <w:bookmarkStart w:colFirst="0" w:colLast="0" w:name="_baswmq9uuxpu" w:id="11"/>
      <w:bookmarkEnd w:id="11"/>
      <w:r w:rsidDel="00000000" w:rsidR="00000000" w:rsidRPr="00000000">
        <w:rPr>
          <w:rtl w:val="0"/>
        </w:rPr>
        <w:t xml:space="preserve">“Who Am I?”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This activity is one example of a</w:t>
      </w:r>
      <w:r w:rsidDel="00000000" w:rsidR="00000000" w:rsidRPr="00000000">
        <w:rPr>
          <w:rtl w:val="0"/>
        </w:rPr>
        <w:t xml:space="preserve"> creative way </w:t>
      </w:r>
      <w:r w:rsidDel="00000000" w:rsidR="00000000" w:rsidRPr="00000000">
        <w:rPr>
          <w:rtl w:val="0"/>
        </w:rPr>
        <w:t xml:space="preserve">for students to define and represent aspects of themselves through presentations, drawings, poems,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Tutors can use an activity like this during one of their first sessions with students. Tutors should be encouraged to complete the activity as well.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 example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template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Be mindful of what you are expecting students to share. Consider suggesting a norm where students may opt out of sharing personal information, or may choose amongst several options. </w:t>
      </w:r>
    </w:p>
    <w:p w:rsidR="00000000" w:rsidDel="00000000" w:rsidP="00000000" w:rsidRDefault="00000000" w:rsidRPr="00000000" w14:paraId="0000004A">
      <w:pPr>
        <w:ind w:left="1440" w:firstLine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662780" cy="73866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2780" cy="7386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Adapted and updated from: Villegas, A. M., &amp; Lucas, T. (2002). Educating culturally responsive teachers: A coherent approach. Albany: State University of New York Press.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Times New Roman" w:cs="Times New Roman" w:eastAsia="Times New Roman" w:hAnsi="Times New Roman"/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lin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Times New Roman" w:cs="Times New Roman" w:eastAsia="Times New Roman" w:hAnsi="Times New Roman"/>
      <w:b w:val="1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docs.google.com/document/d/1-yX4B-u2l3eoGW9TN4-sMg4i7OAEjPOlmG2FkPHFQlA/edit" TargetMode="External"/><Relationship Id="rId10" Type="http://schemas.openxmlformats.org/officeDocument/2006/relationships/image" Target="media/image1.png"/><Relationship Id="rId12" Type="http://schemas.openxmlformats.org/officeDocument/2006/relationships/image" Target="media/image2.png"/><Relationship Id="rId9" Type="http://schemas.openxmlformats.org/officeDocument/2006/relationships/hyperlink" Target="https://docs.google.com/document/d/1gclCmWmQCF_uRT-bNF8B5gPmFcpJmR9E4Gb3bzV8Auk/view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oBLNJ_0-A8yp8g0jqL2BbxJmPF4o98VdyTuB4-vICmA/view" TargetMode="External"/><Relationship Id="rId8" Type="http://schemas.openxmlformats.org/officeDocument/2006/relationships/hyperlink" Target="https://docs.google.com/document/d/1oBLNJ_0-A8yp8g0jqL2BbxJmPF4o98VdyTuB4-vICmA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